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3B1B" w14:textId="237B9888" w:rsidR="00A114E0" w:rsidRPr="00A114E0" w:rsidRDefault="00A114E0" w:rsidP="00A114E0">
      <w:pPr>
        <w:pStyle w:val="a3"/>
        <w:jc w:val="center"/>
        <w:rPr>
          <w:color w:val="000000"/>
          <w:sz w:val="28"/>
          <w:szCs w:val="28"/>
        </w:rPr>
      </w:pPr>
      <w:r w:rsidRPr="00A114E0">
        <w:rPr>
          <w:color w:val="000000"/>
          <w:sz w:val="28"/>
          <w:szCs w:val="28"/>
        </w:rPr>
        <w:t>Информация об о</w:t>
      </w:r>
      <w:r w:rsidRPr="00A114E0">
        <w:rPr>
          <w:color w:val="000000"/>
          <w:sz w:val="28"/>
          <w:szCs w:val="28"/>
        </w:rPr>
        <w:t>беспечение свободного доступа к водным объектам</w:t>
      </w:r>
    </w:p>
    <w:p w14:paraId="21AF7C16" w14:textId="77777777" w:rsidR="00A114E0" w:rsidRPr="00A114E0" w:rsidRDefault="00A114E0" w:rsidP="00A114E0">
      <w:pPr>
        <w:pStyle w:val="a3"/>
        <w:rPr>
          <w:color w:val="000000"/>
          <w:sz w:val="26"/>
          <w:szCs w:val="26"/>
        </w:rPr>
      </w:pPr>
      <w:r w:rsidRPr="00A114E0">
        <w:rPr>
          <w:color w:val="000000"/>
          <w:sz w:val="26"/>
          <w:szCs w:val="26"/>
        </w:rPr>
        <w:t>Информация о фактах ограничений доступа к водным объектам и их береговым полосам в обязательном порядке рассматривается территориальными органами администрации города Перми, после чего принимаются меры по выявлению и привлечению к ответственности виновных лиц в соответствии с действующим законодательством.</w:t>
      </w:r>
    </w:p>
    <w:p w14:paraId="5EBC5E03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14:paraId="7B6F85CF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(ст.6 Водного кодекса Российской Федерации)</w:t>
      </w:r>
    </w:p>
    <w:p w14:paraId="006D458C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</w:t>
      </w:r>
    </w:p>
    <w:p w14:paraId="7B11BC56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(ст.6 Водного кодекса Российской Федерации)</w:t>
      </w:r>
    </w:p>
    <w:p w14:paraId="72731D16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Ширина береговой полосы водных объектов общего пользования составляет двадцать метров.</w:t>
      </w:r>
    </w:p>
    <w:p w14:paraId="452FC54F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14:paraId="54B14C54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(ст.6 Водного кодекса Российской Федерации)</w:t>
      </w:r>
    </w:p>
    <w:p w14:paraId="51F5747B" w14:textId="77777777" w:rsidR="00A114E0" w:rsidRPr="00A114E0" w:rsidRDefault="00A114E0" w:rsidP="00A114E0">
      <w:pPr>
        <w:pStyle w:val="a3"/>
        <w:rPr>
          <w:color w:val="000000"/>
        </w:rPr>
      </w:pPr>
      <w:r w:rsidRPr="00A114E0">
        <w:rPr>
          <w:color w:val="000000"/>
        </w:rPr>
        <w:t>С целью обеспечения свободного доступа граждан к водным объектам выдаются уведомления о добровольном демонтаже незаконно размещенных объектов, вносятся сведения в единый реестр самовольно установленных и незаконно размещенных объектов, составляются акты по выявленным бесхозяйным отходам для их последующего включения в реестр свалок, подлежащих ликвидации, составляются протоколы об административных правонарушениях по статье 19.5 Кодекса Российской Федерации об административных правонарушениях, проводятся внеплановые выездные проверки соблюдения требований земельного законодательства, направляются предостережения о недопустимости нарушений обязательных требований земельного законодательства.</w:t>
      </w:r>
    </w:p>
    <w:p w14:paraId="403C9047" w14:textId="77777777" w:rsidR="00096122" w:rsidRDefault="00096122"/>
    <w:sectPr w:rsidR="0009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0"/>
    <w:rsid w:val="00096122"/>
    <w:rsid w:val="00A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FA40"/>
  <w15:chartTrackingRefBased/>
  <w15:docId w15:val="{0C055EBC-6882-4065-9474-07A0398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2020-08-03T09:11:00Z</dcterms:created>
  <dcterms:modified xsi:type="dcterms:W3CDTF">2020-08-03T09:14:00Z</dcterms:modified>
</cp:coreProperties>
</file>